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bookmarkStart w:id="0" w:name="_GoBack"/>
      <w:bookmarkEnd w:id="0"/>
      <w:r w:rsidRPr="0025192C">
        <w:rPr>
          <w:rFonts w:ascii="Verdana" w:eastAsia="Times New Roman" w:hAnsi="Verdana" w:cs="Times New Roman"/>
          <w:color w:val="000000"/>
          <w:sz w:val="20"/>
          <w:szCs w:val="20"/>
          <w:lang w:eastAsia="ru-RU"/>
        </w:rPr>
        <w:t>Зарегистрировано в Минюсте РФ 23 августа 2007 г. N 10045</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b/>
          <w:bCs/>
          <w:color w:val="000000"/>
          <w:sz w:val="17"/>
          <w:szCs w:val="17"/>
          <w:lang w:eastAsia="ru-RU"/>
        </w:rPr>
        <w:t>МИНИСТЕРСТВО ЭКОНОМИЧЕСКОГО РАЗВИТИЯ И ТОРГОВЛИ РОССИЙСКОЙ ФЕДЕРАЦИИ</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(МИНЭКОНОМРАЗВИТИЯ РОССИИ)</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b/>
          <w:bCs/>
          <w:color w:val="000000"/>
          <w:sz w:val="17"/>
          <w:szCs w:val="17"/>
          <w:lang w:eastAsia="ru-RU"/>
        </w:rPr>
        <w:t> </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b/>
          <w:bCs/>
          <w:color w:val="000000"/>
          <w:sz w:val="27"/>
          <w:szCs w:val="27"/>
          <w:lang w:eastAsia="ru-RU"/>
        </w:rPr>
        <w:t>П Р И К А З</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b/>
          <w:bCs/>
          <w:color w:val="000000"/>
          <w:sz w:val="17"/>
          <w:szCs w:val="17"/>
          <w:lang w:eastAsia="ru-RU"/>
        </w:rPr>
        <w:t>от 20 июля 2007 г. N 255</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b/>
          <w:bCs/>
          <w:color w:val="000000"/>
          <w:sz w:val="17"/>
          <w:szCs w:val="17"/>
          <w:lang w:eastAsia="ru-RU"/>
        </w:rPr>
        <w:t>ОБ УТВЕРЖДЕНИИ ФЕДЕРАЛЬНОГО СТАНДАРТА ОЦЕНКИ</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b/>
          <w:bCs/>
          <w:color w:val="000000"/>
          <w:sz w:val="17"/>
          <w:szCs w:val="17"/>
          <w:lang w:eastAsia="ru-RU"/>
        </w:rPr>
        <w:t>"ЦЕЛЬ ОЦЕНКИ И ВИДЫ СТОИМОСТИ (ФСО N 2)"</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В целях реализации положений Федерального закона от 27 июля 2006 г. N 157-ФЗ "О внесении изменений в Федеральный закон "Об оценочной деятельности в Российской Федерации" (Собрание законодательства Российской Федерации, 2006, N 31, ст. 3456), в соответствии с пунктом 5.2.5 Положения о Министерстве экономического развития и торговли Российской Федерации, утвержденного Постановлением Правительства Российской Федерации от 27 августа 2004 г. N 443 (Собрание законодательства Российской Федерации, 2004, N 36, ст. 3670; 2005, N 22, ст. 2121; 2006, N 11, ст. 1182; N 16, ст. 1743, ст. 1744; N 18, ст. 2005; N 22, ст. 2333; N 32, ст. 3569, ст. 3578; 2007, N 22, ст. 2642), приказываю:</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Утвердить прилагаемый федеральный стандарт оценки "Цель оценки и виды стоимости (ФСО N 2)".</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jc w:val="right"/>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Министр</w:t>
      </w:r>
    </w:p>
    <w:p w:rsidR="0025192C" w:rsidRPr="0025192C" w:rsidRDefault="0025192C" w:rsidP="0025192C">
      <w:pPr>
        <w:shd w:val="clear" w:color="auto" w:fill="FFFFFF"/>
        <w:spacing w:after="0" w:line="240" w:lineRule="auto"/>
        <w:jc w:val="right"/>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Г.О.ГРЕФ</w:t>
      </w:r>
    </w:p>
    <w:p w:rsidR="0025192C" w:rsidRPr="0025192C" w:rsidRDefault="0025192C" w:rsidP="0025192C">
      <w:pPr>
        <w:spacing w:after="0" w:line="240" w:lineRule="auto"/>
        <w:rPr>
          <w:rFonts w:ascii="Times New Roman" w:eastAsia="Times New Roman" w:hAnsi="Times New Roman" w:cs="Times New Roman"/>
          <w:sz w:val="24"/>
          <w:szCs w:val="24"/>
          <w:lang w:eastAsia="ru-RU"/>
        </w:rPr>
      </w:pPr>
      <w:r w:rsidRPr="0025192C">
        <w:rPr>
          <w:rFonts w:ascii="Verdana" w:eastAsia="Times New Roman" w:hAnsi="Verdana" w:cs="Times New Roman"/>
          <w:color w:val="000000"/>
          <w:sz w:val="17"/>
          <w:szCs w:val="17"/>
          <w:lang w:eastAsia="ru-RU"/>
        </w:rPr>
        <w:br w:type="textWrapping" w:clear="all"/>
      </w:r>
    </w:p>
    <w:p w:rsidR="0025192C" w:rsidRPr="0025192C" w:rsidRDefault="0025192C" w:rsidP="0025192C">
      <w:pPr>
        <w:shd w:val="clear" w:color="auto" w:fill="FFFFFF"/>
        <w:spacing w:after="0" w:line="240" w:lineRule="auto"/>
        <w:jc w:val="right"/>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Утвержден</w:t>
      </w:r>
    </w:p>
    <w:p w:rsidR="0025192C" w:rsidRPr="0025192C" w:rsidRDefault="0025192C" w:rsidP="0025192C">
      <w:pPr>
        <w:shd w:val="clear" w:color="auto" w:fill="FFFFFF"/>
        <w:spacing w:after="0" w:line="240" w:lineRule="auto"/>
        <w:jc w:val="right"/>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Приказом</w:t>
      </w:r>
    </w:p>
    <w:p w:rsidR="0025192C" w:rsidRPr="0025192C" w:rsidRDefault="0025192C" w:rsidP="0025192C">
      <w:pPr>
        <w:shd w:val="clear" w:color="auto" w:fill="FFFFFF"/>
        <w:spacing w:after="0" w:line="240" w:lineRule="auto"/>
        <w:jc w:val="right"/>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Минэкономразвития России</w:t>
      </w:r>
    </w:p>
    <w:p w:rsidR="0025192C" w:rsidRPr="0025192C" w:rsidRDefault="0025192C" w:rsidP="0025192C">
      <w:pPr>
        <w:shd w:val="clear" w:color="auto" w:fill="FFFFFF"/>
        <w:spacing w:after="0" w:line="240" w:lineRule="auto"/>
        <w:jc w:val="right"/>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от 20 июля 2007 г. N 255</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b/>
          <w:bCs/>
          <w:color w:val="000000"/>
          <w:sz w:val="20"/>
          <w:szCs w:val="20"/>
          <w:lang w:eastAsia="ru-RU"/>
        </w:rPr>
        <w:t>ФЕДЕРАЛЬНЫЙ СТАНДАРТ ОЦЕНКИ</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b/>
          <w:bCs/>
          <w:color w:val="000000"/>
          <w:sz w:val="20"/>
          <w:szCs w:val="20"/>
          <w:lang w:eastAsia="ru-RU"/>
        </w:rPr>
        <w:t>"ЦЕЛЬ ОЦЕНКИ И ВИДЫ СТОИМОСТИ (ФСО N 2)"</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I. Общие положения</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1. Настоящий федеральный стандарт оценки разработан с учетом международных стандартов оценки и раскрывает цель оценки, предполагаемое использование результата оценки, а также определение рыночной стоимости и видов стоимости, отличных от рыночной.</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2. Настоящий федеральный стандарт оценки является обязательным к применению при осуществлении оценочной деятельности.</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II. Цель оценки и предполагаемое использование</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результата оценки</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3. Целью оценки является определение стоимости объекта оценки, вид которой определяется в задании на оценку.</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4. Результатом оценки является итоговая величина стоимости объекта оценки. Результат оценки может использоваться при определении сторонами цены для совершения сделки или иных действий с объектом оценки, в том числе при совершении сделок купли-продажи, передаче в аренду или залог, страховании, кредитовании, внесении в уставный (складочный) капитал, для целей налогообложения, при составлении финансовой (бухгалтерской) отчетности, реорганизации и приватизации предприятий, разрешении имущественных споров, принятии управленческих решений и иных случаях.</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jc w:val="center"/>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III. Виды стоимости</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17"/>
          <w:szCs w:val="17"/>
          <w:lang w:eastAsia="ru-RU"/>
        </w:rPr>
        <w:t> </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5. При использовании понятия стоимости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lastRenderedPageBreak/>
        <w:t>При осуществлении оценочной деятельности используются следующие виды стоимости объекта оценки:</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рыночная стоимость;</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инвестиционная стоимость;</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ликвидационная стоимость;</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кадастровая стоимость.</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6. При определении рыночной стоимости объекта оценки определяется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одна из сторон сделки не обязана отчуждать объект оценки, а другая сторона не обязана принимать исполнение;</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стороны сделки хорошо осведомлены о предмете сделки и действуют в своих интересах;</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объект оценки представлен на открытом рынке посредством публичной оферты, типичной для аналогичных объектов оценки;</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платеж за объект оценки выражен в денежной форме.</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Возможность отчуждения на открытом рынке означает, что объект оценки представлен на открытом рынке посредством публичной оферты, типичной для аналогичных объектов, при этом срок экспозиции объекта на рынке должен быть достаточным для привлечения внимания достаточного числа потенциальных покупателей.</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Разумность действий сторон сделки означает, что цена сделки - наибольшая из достижимых по разумным соображениям цен для продавца и наименьшая из достижимых по разумным соображениям цен для покупателя.</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Полнота располагаемой информации означает, что стороны сделки в достаточной степени информированы о предмете сделки, действуют, стремясь достичь условий сделки, наилучших с точки зрения каждой из сторон, в соответствии с полным объемом информации о состоянии рынка и объекте оценки, доступным на дату оценки.</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Отсутствие чрезвычайных обстоятельств означает, что у каждой из сторон сделки имеются мотивы для совершения сделки, при этом в отношении сторон нет принуждения совершить сделку.</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7. Рыночная стоимость определяется оценщиком, в частности, в следующих случаях:</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 при изъятии имущества для государственных нужд;</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 при определении стоимости размещенных акций общества, приобретаемых обществом по решению общего собрания акционеров или по решению совета директоров (наблюдательного совета) общества;</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 при определении стоимости объекта залога, в том числе при ипотеке;</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 xml:space="preserve">- при определении стоимости </w:t>
      </w:r>
      <w:proofErr w:type="spellStart"/>
      <w:r w:rsidRPr="0025192C">
        <w:rPr>
          <w:rFonts w:ascii="Verdana" w:eastAsia="Times New Roman" w:hAnsi="Verdana" w:cs="Times New Roman"/>
          <w:color w:val="000000"/>
          <w:sz w:val="20"/>
          <w:szCs w:val="20"/>
          <w:lang w:eastAsia="ru-RU"/>
        </w:rPr>
        <w:t>неденежных</w:t>
      </w:r>
      <w:proofErr w:type="spellEnd"/>
      <w:r w:rsidRPr="0025192C">
        <w:rPr>
          <w:rFonts w:ascii="Verdana" w:eastAsia="Times New Roman" w:hAnsi="Verdana" w:cs="Times New Roman"/>
          <w:color w:val="000000"/>
          <w:sz w:val="20"/>
          <w:szCs w:val="20"/>
          <w:lang w:eastAsia="ru-RU"/>
        </w:rPr>
        <w:t xml:space="preserve"> вкладов в уставный (складочный) капитал;</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 при определении стоимости имущества должника в ходе процедур банкротства;</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 при определении стоимости безвозмездно полученного имущества.</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8. При определении инвестиционной стоимости объекта оценки определяется стоимость для конкретного лица или группы лиц при установленных данным лицом (лицами) инвестиционных целях использования объекта оценки.</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9. При определении ликвидационной стоимости объекта оценки определяется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lastRenderedPageBreak/>
        <w:t>10. При определении кадастровой стоимости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25192C" w:rsidRPr="0025192C" w:rsidRDefault="0025192C" w:rsidP="0025192C">
      <w:pPr>
        <w:shd w:val="clear" w:color="auto" w:fill="FFFFFF"/>
        <w:spacing w:after="0" w:line="240" w:lineRule="auto"/>
        <w:rPr>
          <w:rFonts w:ascii="Verdana" w:eastAsia="Times New Roman" w:hAnsi="Verdana" w:cs="Times New Roman"/>
          <w:color w:val="000000"/>
          <w:sz w:val="17"/>
          <w:szCs w:val="17"/>
          <w:lang w:eastAsia="ru-RU"/>
        </w:rPr>
      </w:pPr>
      <w:r w:rsidRPr="0025192C">
        <w:rPr>
          <w:rFonts w:ascii="Verdana" w:eastAsia="Times New Roman" w:hAnsi="Verdana" w:cs="Times New Roman"/>
          <w:color w:val="000000"/>
          <w:sz w:val="20"/>
          <w:szCs w:val="20"/>
          <w:lang w:eastAsia="ru-RU"/>
        </w:rPr>
        <w:t>Кадастровая стоимость определяется оценщиком, в частности, для целей налогообложения.</w:t>
      </w:r>
    </w:p>
    <w:p w:rsidR="00A35A2B" w:rsidRDefault="00A35A2B"/>
    <w:sectPr w:rsidR="00A35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2C"/>
    <w:rsid w:val="001C478A"/>
    <w:rsid w:val="0025192C"/>
    <w:rsid w:val="009B081A"/>
    <w:rsid w:val="00A3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1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1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5904">
      <w:bodyDiv w:val="1"/>
      <w:marLeft w:val="0"/>
      <w:marRight w:val="0"/>
      <w:marTop w:val="0"/>
      <w:marBottom w:val="0"/>
      <w:divBdr>
        <w:top w:val="none" w:sz="0" w:space="0" w:color="auto"/>
        <w:left w:val="none" w:sz="0" w:space="0" w:color="auto"/>
        <w:bottom w:val="none" w:sz="0" w:space="0" w:color="auto"/>
        <w:right w:val="none" w:sz="0" w:space="0" w:color="auto"/>
      </w:divBdr>
      <w:divsChild>
        <w:div w:id="1836604777">
          <w:marLeft w:val="0"/>
          <w:marRight w:val="0"/>
          <w:marTop w:val="0"/>
          <w:marBottom w:val="0"/>
          <w:divBdr>
            <w:top w:val="none" w:sz="0" w:space="0" w:color="auto"/>
            <w:left w:val="none" w:sz="0" w:space="0" w:color="auto"/>
            <w:bottom w:val="none" w:sz="0" w:space="0" w:color="auto"/>
            <w:right w:val="none" w:sz="0" w:space="0" w:color="auto"/>
          </w:divBdr>
          <w:divsChild>
            <w:div w:id="191307961">
              <w:marLeft w:val="0"/>
              <w:marRight w:val="0"/>
              <w:marTop w:val="0"/>
              <w:marBottom w:val="0"/>
              <w:divBdr>
                <w:top w:val="none" w:sz="0" w:space="0" w:color="auto"/>
                <w:left w:val="none" w:sz="0" w:space="0" w:color="auto"/>
                <w:bottom w:val="none" w:sz="0" w:space="0" w:color="auto"/>
                <w:right w:val="none" w:sz="0" w:space="0" w:color="auto"/>
              </w:divBdr>
            </w:div>
          </w:divsChild>
        </w:div>
        <w:div w:id="915744968">
          <w:marLeft w:val="0"/>
          <w:marRight w:val="0"/>
          <w:marTop w:val="0"/>
          <w:marBottom w:val="0"/>
          <w:divBdr>
            <w:top w:val="none" w:sz="0" w:space="0" w:color="auto"/>
            <w:left w:val="none" w:sz="0" w:space="0" w:color="auto"/>
            <w:bottom w:val="none" w:sz="0" w:space="0" w:color="auto"/>
            <w:right w:val="none" w:sz="0" w:space="0" w:color="auto"/>
          </w:divBdr>
        </w:div>
        <w:div w:id="266548360">
          <w:marLeft w:val="0"/>
          <w:marRight w:val="0"/>
          <w:marTop w:val="0"/>
          <w:marBottom w:val="0"/>
          <w:divBdr>
            <w:top w:val="none" w:sz="0" w:space="0" w:color="auto"/>
            <w:left w:val="none" w:sz="0" w:space="0" w:color="auto"/>
            <w:bottom w:val="none" w:sz="0" w:space="0" w:color="auto"/>
            <w:right w:val="none" w:sz="0" w:space="0" w:color="auto"/>
          </w:divBdr>
        </w:div>
        <w:div w:id="1421490692">
          <w:marLeft w:val="0"/>
          <w:marRight w:val="0"/>
          <w:marTop w:val="0"/>
          <w:marBottom w:val="0"/>
          <w:divBdr>
            <w:top w:val="none" w:sz="0" w:space="0" w:color="auto"/>
            <w:left w:val="none" w:sz="0" w:space="0" w:color="auto"/>
            <w:bottom w:val="none" w:sz="0" w:space="0" w:color="auto"/>
            <w:right w:val="none" w:sz="0" w:space="0" w:color="auto"/>
          </w:divBdr>
        </w:div>
        <w:div w:id="928387755">
          <w:marLeft w:val="0"/>
          <w:marRight w:val="0"/>
          <w:marTop w:val="0"/>
          <w:marBottom w:val="0"/>
          <w:divBdr>
            <w:top w:val="none" w:sz="0" w:space="0" w:color="auto"/>
            <w:left w:val="none" w:sz="0" w:space="0" w:color="auto"/>
            <w:bottom w:val="none" w:sz="0" w:space="0" w:color="auto"/>
            <w:right w:val="none" w:sz="0" w:space="0" w:color="auto"/>
          </w:divBdr>
        </w:div>
        <w:div w:id="1006710127">
          <w:marLeft w:val="0"/>
          <w:marRight w:val="0"/>
          <w:marTop w:val="0"/>
          <w:marBottom w:val="0"/>
          <w:divBdr>
            <w:top w:val="none" w:sz="0" w:space="0" w:color="auto"/>
            <w:left w:val="none" w:sz="0" w:space="0" w:color="auto"/>
            <w:bottom w:val="none" w:sz="0" w:space="0" w:color="auto"/>
            <w:right w:val="none" w:sz="0" w:space="0" w:color="auto"/>
          </w:divBdr>
        </w:div>
        <w:div w:id="428938581">
          <w:marLeft w:val="0"/>
          <w:marRight w:val="0"/>
          <w:marTop w:val="0"/>
          <w:marBottom w:val="0"/>
          <w:divBdr>
            <w:top w:val="none" w:sz="0" w:space="0" w:color="auto"/>
            <w:left w:val="none" w:sz="0" w:space="0" w:color="auto"/>
            <w:bottom w:val="none" w:sz="0" w:space="0" w:color="auto"/>
            <w:right w:val="none" w:sz="0" w:space="0" w:color="auto"/>
          </w:divBdr>
        </w:div>
        <w:div w:id="1583441693">
          <w:marLeft w:val="0"/>
          <w:marRight w:val="0"/>
          <w:marTop w:val="0"/>
          <w:marBottom w:val="0"/>
          <w:divBdr>
            <w:top w:val="none" w:sz="0" w:space="0" w:color="auto"/>
            <w:left w:val="none" w:sz="0" w:space="0" w:color="auto"/>
            <w:bottom w:val="none" w:sz="0" w:space="0" w:color="auto"/>
            <w:right w:val="none" w:sz="0" w:space="0" w:color="auto"/>
          </w:divBdr>
        </w:div>
        <w:div w:id="1848278913">
          <w:marLeft w:val="0"/>
          <w:marRight w:val="0"/>
          <w:marTop w:val="0"/>
          <w:marBottom w:val="0"/>
          <w:divBdr>
            <w:top w:val="none" w:sz="0" w:space="0" w:color="auto"/>
            <w:left w:val="none" w:sz="0" w:space="0" w:color="auto"/>
            <w:bottom w:val="none" w:sz="0" w:space="0" w:color="auto"/>
            <w:right w:val="none" w:sz="0" w:space="0" w:color="auto"/>
          </w:divBdr>
        </w:div>
        <w:div w:id="323818936">
          <w:marLeft w:val="0"/>
          <w:marRight w:val="0"/>
          <w:marTop w:val="0"/>
          <w:marBottom w:val="0"/>
          <w:divBdr>
            <w:top w:val="none" w:sz="0" w:space="0" w:color="auto"/>
            <w:left w:val="none" w:sz="0" w:space="0" w:color="auto"/>
            <w:bottom w:val="none" w:sz="0" w:space="0" w:color="auto"/>
            <w:right w:val="none" w:sz="0" w:space="0" w:color="auto"/>
          </w:divBdr>
        </w:div>
        <w:div w:id="875318409">
          <w:marLeft w:val="0"/>
          <w:marRight w:val="0"/>
          <w:marTop w:val="0"/>
          <w:marBottom w:val="0"/>
          <w:divBdr>
            <w:top w:val="none" w:sz="0" w:space="0" w:color="auto"/>
            <w:left w:val="none" w:sz="0" w:space="0" w:color="auto"/>
            <w:bottom w:val="none" w:sz="0" w:space="0" w:color="auto"/>
            <w:right w:val="none" w:sz="0" w:space="0" w:color="auto"/>
          </w:divBdr>
        </w:div>
        <w:div w:id="966932495">
          <w:marLeft w:val="0"/>
          <w:marRight w:val="0"/>
          <w:marTop w:val="0"/>
          <w:marBottom w:val="0"/>
          <w:divBdr>
            <w:top w:val="none" w:sz="0" w:space="0" w:color="auto"/>
            <w:left w:val="none" w:sz="0" w:space="0" w:color="auto"/>
            <w:bottom w:val="none" w:sz="0" w:space="0" w:color="auto"/>
            <w:right w:val="none" w:sz="0" w:space="0" w:color="auto"/>
          </w:divBdr>
        </w:div>
        <w:div w:id="923075178">
          <w:marLeft w:val="0"/>
          <w:marRight w:val="0"/>
          <w:marTop w:val="0"/>
          <w:marBottom w:val="0"/>
          <w:divBdr>
            <w:top w:val="none" w:sz="0" w:space="0" w:color="auto"/>
            <w:left w:val="none" w:sz="0" w:space="0" w:color="auto"/>
            <w:bottom w:val="none" w:sz="0" w:space="0" w:color="auto"/>
            <w:right w:val="none" w:sz="0" w:space="0" w:color="auto"/>
          </w:divBdr>
        </w:div>
        <w:div w:id="454057725">
          <w:marLeft w:val="0"/>
          <w:marRight w:val="0"/>
          <w:marTop w:val="0"/>
          <w:marBottom w:val="0"/>
          <w:divBdr>
            <w:top w:val="none" w:sz="0" w:space="0" w:color="auto"/>
            <w:left w:val="none" w:sz="0" w:space="0" w:color="auto"/>
            <w:bottom w:val="none" w:sz="0" w:space="0" w:color="auto"/>
            <w:right w:val="none" w:sz="0" w:space="0" w:color="auto"/>
          </w:divBdr>
        </w:div>
        <w:div w:id="1005942310">
          <w:marLeft w:val="0"/>
          <w:marRight w:val="0"/>
          <w:marTop w:val="0"/>
          <w:marBottom w:val="0"/>
          <w:divBdr>
            <w:top w:val="none" w:sz="0" w:space="0" w:color="auto"/>
            <w:left w:val="none" w:sz="0" w:space="0" w:color="auto"/>
            <w:bottom w:val="none" w:sz="0" w:space="0" w:color="auto"/>
            <w:right w:val="none" w:sz="0" w:space="0" w:color="auto"/>
          </w:divBdr>
        </w:div>
        <w:div w:id="827404452">
          <w:marLeft w:val="0"/>
          <w:marRight w:val="0"/>
          <w:marTop w:val="0"/>
          <w:marBottom w:val="0"/>
          <w:divBdr>
            <w:top w:val="none" w:sz="0" w:space="0" w:color="auto"/>
            <w:left w:val="none" w:sz="0" w:space="0" w:color="auto"/>
            <w:bottom w:val="none" w:sz="0" w:space="0" w:color="auto"/>
            <w:right w:val="none" w:sz="0" w:space="0" w:color="auto"/>
          </w:divBdr>
        </w:div>
        <w:div w:id="285284571">
          <w:marLeft w:val="0"/>
          <w:marRight w:val="0"/>
          <w:marTop w:val="0"/>
          <w:marBottom w:val="0"/>
          <w:divBdr>
            <w:top w:val="none" w:sz="0" w:space="0" w:color="auto"/>
            <w:left w:val="none" w:sz="0" w:space="0" w:color="auto"/>
            <w:bottom w:val="none" w:sz="0" w:space="0" w:color="auto"/>
            <w:right w:val="none" w:sz="0" w:space="0" w:color="auto"/>
          </w:divBdr>
        </w:div>
        <w:div w:id="356783997">
          <w:marLeft w:val="0"/>
          <w:marRight w:val="0"/>
          <w:marTop w:val="0"/>
          <w:marBottom w:val="0"/>
          <w:divBdr>
            <w:top w:val="none" w:sz="0" w:space="0" w:color="auto"/>
            <w:left w:val="none" w:sz="0" w:space="0" w:color="auto"/>
            <w:bottom w:val="none" w:sz="0" w:space="0" w:color="auto"/>
            <w:right w:val="none" w:sz="0" w:space="0" w:color="auto"/>
          </w:divBdr>
        </w:div>
        <w:div w:id="684869127">
          <w:marLeft w:val="0"/>
          <w:marRight w:val="0"/>
          <w:marTop w:val="0"/>
          <w:marBottom w:val="0"/>
          <w:divBdr>
            <w:top w:val="none" w:sz="0" w:space="0" w:color="auto"/>
            <w:left w:val="none" w:sz="0" w:space="0" w:color="auto"/>
            <w:bottom w:val="none" w:sz="0" w:space="0" w:color="auto"/>
            <w:right w:val="none" w:sz="0" w:space="0" w:color="auto"/>
          </w:divBdr>
        </w:div>
        <w:div w:id="181404252">
          <w:marLeft w:val="0"/>
          <w:marRight w:val="0"/>
          <w:marTop w:val="0"/>
          <w:marBottom w:val="0"/>
          <w:divBdr>
            <w:top w:val="none" w:sz="0" w:space="0" w:color="auto"/>
            <w:left w:val="none" w:sz="0" w:space="0" w:color="auto"/>
            <w:bottom w:val="none" w:sz="0" w:space="0" w:color="auto"/>
            <w:right w:val="none" w:sz="0" w:space="0" w:color="auto"/>
          </w:divBdr>
        </w:div>
        <w:div w:id="2064476596">
          <w:marLeft w:val="0"/>
          <w:marRight w:val="0"/>
          <w:marTop w:val="0"/>
          <w:marBottom w:val="0"/>
          <w:divBdr>
            <w:top w:val="none" w:sz="0" w:space="0" w:color="auto"/>
            <w:left w:val="none" w:sz="0" w:space="0" w:color="auto"/>
            <w:bottom w:val="none" w:sz="0" w:space="0" w:color="auto"/>
            <w:right w:val="none" w:sz="0" w:space="0" w:color="auto"/>
          </w:divBdr>
        </w:div>
        <w:div w:id="1312443664">
          <w:marLeft w:val="0"/>
          <w:marRight w:val="0"/>
          <w:marTop w:val="0"/>
          <w:marBottom w:val="0"/>
          <w:divBdr>
            <w:top w:val="none" w:sz="0" w:space="0" w:color="auto"/>
            <w:left w:val="none" w:sz="0" w:space="0" w:color="auto"/>
            <w:bottom w:val="none" w:sz="0" w:space="0" w:color="auto"/>
            <w:right w:val="none" w:sz="0" w:space="0" w:color="auto"/>
          </w:divBdr>
        </w:div>
        <w:div w:id="1825580897">
          <w:marLeft w:val="0"/>
          <w:marRight w:val="0"/>
          <w:marTop w:val="0"/>
          <w:marBottom w:val="0"/>
          <w:divBdr>
            <w:top w:val="none" w:sz="0" w:space="0" w:color="auto"/>
            <w:left w:val="none" w:sz="0" w:space="0" w:color="auto"/>
            <w:bottom w:val="none" w:sz="0" w:space="0" w:color="auto"/>
            <w:right w:val="none" w:sz="0" w:space="0" w:color="auto"/>
          </w:divBdr>
        </w:div>
        <w:div w:id="1496920898">
          <w:marLeft w:val="0"/>
          <w:marRight w:val="0"/>
          <w:marTop w:val="0"/>
          <w:marBottom w:val="0"/>
          <w:divBdr>
            <w:top w:val="none" w:sz="0" w:space="0" w:color="auto"/>
            <w:left w:val="none" w:sz="0" w:space="0" w:color="auto"/>
            <w:bottom w:val="none" w:sz="0" w:space="0" w:color="auto"/>
            <w:right w:val="none" w:sz="0" w:space="0" w:color="auto"/>
          </w:divBdr>
        </w:div>
        <w:div w:id="335882967">
          <w:marLeft w:val="0"/>
          <w:marRight w:val="0"/>
          <w:marTop w:val="0"/>
          <w:marBottom w:val="0"/>
          <w:divBdr>
            <w:top w:val="none" w:sz="0" w:space="0" w:color="auto"/>
            <w:left w:val="none" w:sz="0" w:space="0" w:color="auto"/>
            <w:bottom w:val="none" w:sz="0" w:space="0" w:color="auto"/>
            <w:right w:val="none" w:sz="0" w:space="0" w:color="auto"/>
          </w:divBdr>
        </w:div>
        <w:div w:id="232010161">
          <w:marLeft w:val="0"/>
          <w:marRight w:val="0"/>
          <w:marTop w:val="0"/>
          <w:marBottom w:val="0"/>
          <w:divBdr>
            <w:top w:val="none" w:sz="0" w:space="0" w:color="auto"/>
            <w:left w:val="none" w:sz="0" w:space="0" w:color="auto"/>
            <w:bottom w:val="none" w:sz="0" w:space="0" w:color="auto"/>
            <w:right w:val="none" w:sz="0" w:space="0" w:color="auto"/>
          </w:divBdr>
        </w:div>
        <w:div w:id="1511680781">
          <w:marLeft w:val="0"/>
          <w:marRight w:val="0"/>
          <w:marTop w:val="0"/>
          <w:marBottom w:val="0"/>
          <w:divBdr>
            <w:top w:val="none" w:sz="0" w:space="0" w:color="auto"/>
            <w:left w:val="none" w:sz="0" w:space="0" w:color="auto"/>
            <w:bottom w:val="none" w:sz="0" w:space="0" w:color="auto"/>
            <w:right w:val="none" w:sz="0" w:space="0" w:color="auto"/>
          </w:divBdr>
        </w:div>
        <w:div w:id="2068216891">
          <w:marLeft w:val="0"/>
          <w:marRight w:val="0"/>
          <w:marTop w:val="0"/>
          <w:marBottom w:val="0"/>
          <w:divBdr>
            <w:top w:val="none" w:sz="0" w:space="0" w:color="auto"/>
            <w:left w:val="none" w:sz="0" w:space="0" w:color="auto"/>
            <w:bottom w:val="none" w:sz="0" w:space="0" w:color="auto"/>
            <w:right w:val="none" w:sz="0" w:space="0" w:color="auto"/>
          </w:divBdr>
        </w:div>
        <w:div w:id="518541662">
          <w:marLeft w:val="0"/>
          <w:marRight w:val="0"/>
          <w:marTop w:val="0"/>
          <w:marBottom w:val="0"/>
          <w:divBdr>
            <w:top w:val="none" w:sz="0" w:space="0" w:color="auto"/>
            <w:left w:val="none" w:sz="0" w:space="0" w:color="auto"/>
            <w:bottom w:val="none" w:sz="0" w:space="0" w:color="auto"/>
            <w:right w:val="none" w:sz="0" w:space="0" w:color="auto"/>
          </w:divBdr>
        </w:div>
        <w:div w:id="384724879">
          <w:marLeft w:val="0"/>
          <w:marRight w:val="0"/>
          <w:marTop w:val="0"/>
          <w:marBottom w:val="0"/>
          <w:divBdr>
            <w:top w:val="none" w:sz="0" w:space="0" w:color="auto"/>
            <w:left w:val="none" w:sz="0" w:space="0" w:color="auto"/>
            <w:bottom w:val="none" w:sz="0" w:space="0" w:color="auto"/>
            <w:right w:val="none" w:sz="0" w:space="0" w:color="auto"/>
          </w:divBdr>
        </w:div>
        <w:div w:id="1758018110">
          <w:marLeft w:val="0"/>
          <w:marRight w:val="0"/>
          <w:marTop w:val="0"/>
          <w:marBottom w:val="0"/>
          <w:divBdr>
            <w:top w:val="none" w:sz="0" w:space="0" w:color="auto"/>
            <w:left w:val="none" w:sz="0" w:space="0" w:color="auto"/>
            <w:bottom w:val="none" w:sz="0" w:space="0" w:color="auto"/>
            <w:right w:val="none" w:sz="0" w:space="0" w:color="auto"/>
          </w:divBdr>
        </w:div>
        <w:div w:id="37515859">
          <w:marLeft w:val="0"/>
          <w:marRight w:val="0"/>
          <w:marTop w:val="0"/>
          <w:marBottom w:val="0"/>
          <w:divBdr>
            <w:top w:val="none" w:sz="0" w:space="0" w:color="auto"/>
            <w:left w:val="none" w:sz="0" w:space="0" w:color="auto"/>
            <w:bottom w:val="none" w:sz="0" w:space="0" w:color="auto"/>
            <w:right w:val="none" w:sz="0" w:space="0" w:color="auto"/>
          </w:divBdr>
        </w:div>
        <w:div w:id="2018075395">
          <w:marLeft w:val="0"/>
          <w:marRight w:val="0"/>
          <w:marTop w:val="0"/>
          <w:marBottom w:val="0"/>
          <w:divBdr>
            <w:top w:val="none" w:sz="0" w:space="0" w:color="auto"/>
            <w:left w:val="none" w:sz="0" w:space="0" w:color="auto"/>
            <w:bottom w:val="none" w:sz="0" w:space="0" w:color="auto"/>
            <w:right w:val="none" w:sz="0" w:space="0" w:color="auto"/>
          </w:divBdr>
        </w:div>
        <w:div w:id="30572194">
          <w:marLeft w:val="0"/>
          <w:marRight w:val="0"/>
          <w:marTop w:val="0"/>
          <w:marBottom w:val="0"/>
          <w:divBdr>
            <w:top w:val="none" w:sz="0" w:space="0" w:color="auto"/>
            <w:left w:val="none" w:sz="0" w:space="0" w:color="auto"/>
            <w:bottom w:val="none" w:sz="0" w:space="0" w:color="auto"/>
            <w:right w:val="none" w:sz="0" w:space="0" w:color="auto"/>
          </w:divBdr>
        </w:div>
        <w:div w:id="711806409">
          <w:marLeft w:val="0"/>
          <w:marRight w:val="0"/>
          <w:marTop w:val="0"/>
          <w:marBottom w:val="0"/>
          <w:divBdr>
            <w:top w:val="none" w:sz="0" w:space="0" w:color="auto"/>
            <w:left w:val="none" w:sz="0" w:space="0" w:color="auto"/>
            <w:bottom w:val="none" w:sz="0" w:space="0" w:color="auto"/>
            <w:right w:val="none" w:sz="0" w:space="0" w:color="auto"/>
          </w:divBdr>
        </w:div>
        <w:div w:id="1010522564">
          <w:marLeft w:val="0"/>
          <w:marRight w:val="0"/>
          <w:marTop w:val="0"/>
          <w:marBottom w:val="0"/>
          <w:divBdr>
            <w:top w:val="none" w:sz="0" w:space="0" w:color="auto"/>
            <w:left w:val="none" w:sz="0" w:space="0" w:color="auto"/>
            <w:bottom w:val="none" w:sz="0" w:space="0" w:color="auto"/>
            <w:right w:val="none" w:sz="0" w:space="0" w:color="auto"/>
          </w:divBdr>
        </w:div>
        <w:div w:id="1684473634">
          <w:marLeft w:val="0"/>
          <w:marRight w:val="0"/>
          <w:marTop w:val="0"/>
          <w:marBottom w:val="0"/>
          <w:divBdr>
            <w:top w:val="none" w:sz="0" w:space="0" w:color="auto"/>
            <w:left w:val="none" w:sz="0" w:space="0" w:color="auto"/>
            <w:bottom w:val="none" w:sz="0" w:space="0" w:color="auto"/>
            <w:right w:val="none" w:sz="0" w:space="0" w:color="auto"/>
          </w:divBdr>
        </w:div>
        <w:div w:id="802162185">
          <w:marLeft w:val="0"/>
          <w:marRight w:val="0"/>
          <w:marTop w:val="0"/>
          <w:marBottom w:val="0"/>
          <w:divBdr>
            <w:top w:val="none" w:sz="0" w:space="0" w:color="auto"/>
            <w:left w:val="none" w:sz="0" w:space="0" w:color="auto"/>
            <w:bottom w:val="none" w:sz="0" w:space="0" w:color="auto"/>
            <w:right w:val="none" w:sz="0" w:space="0" w:color="auto"/>
          </w:divBdr>
        </w:div>
        <w:div w:id="145754431">
          <w:marLeft w:val="0"/>
          <w:marRight w:val="0"/>
          <w:marTop w:val="0"/>
          <w:marBottom w:val="0"/>
          <w:divBdr>
            <w:top w:val="none" w:sz="0" w:space="0" w:color="auto"/>
            <w:left w:val="none" w:sz="0" w:space="0" w:color="auto"/>
            <w:bottom w:val="none" w:sz="0" w:space="0" w:color="auto"/>
            <w:right w:val="none" w:sz="0" w:space="0" w:color="auto"/>
          </w:divBdr>
        </w:div>
        <w:div w:id="1195650991">
          <w:marLeft w:val="0"/>
          <w:marRight w:val="0"/>
          <w:marTop w:val="0"/>
          <w:marBottom w:val="0"/>
          <w:divBdr>
            <w:top w:val="none" w:sz="0" w:space="0" w:color="auto"/>
            <w:left w:val="none" w:sz="0" w:space="0" w:color="auto"/>
            <w:bottom w:val="none" w:sz="0" w:space="0" w:color="auto"/>
            <w:right w:val="none" w:sz="0" w:space="0" w:color="auto"/>
          </w:divBdr>
        </w:div>
        <w:div w:id="1532961894">
          <w:marLeft w:val="0"/>
          <w:marRight w:val="0"/>
          <w:marTop w:val="0"/>
          <w:marBottom w:val="0"/>
          <w:divBdr>
            <w:top w:val="none" w:sz="0" w:space="0" w:color="auto"/>
            <w:left w:val="none" w:sz="0" w:space="0" w:color="auto"/>
            <w:bottom w:val="none" w:sz="0" w:space="0" w:color="auto"/>
            <w:right w:val="none" w:sz="0" w:space="0" w:color="auto"/>
          </w:divBdr>
        </w:div>
        <w:div w:id="1791778153">
          <w:marLeft w:val="0"/>
          <w:marRight w:val="0"/>
          <w:marTop w:val="0"/>
          <w:marBottom w:val="0"/>
          <w:divBdr>
            <w:top w:val="none" w:sz="0" w:space="0" w:color="auto"/>
            <w:left w:val="none" w:sz="0" w:space="0" w:color="auto"/>
            <w:bottom w:val="none" w:sz="0" w:space="0" w:color="auto"/>
            <w:right w:val="none" w:sz="0" w:space="0" w:color="auto"/>
          </w:divBdr>
        </w:div>
        <w:div w:id="619340106">
          <w:marLeft w:val="0"/>
          <w:marRight w:val="0"/>
          <w:marTop w:val="0"/>
          <w:marBottom w:val="0"/>
          <w:divBdr>
            <w:top w:val="none" w:sz="0" w:space="0" w:color="auto"/>
            <w:left w:val="none" w:sz="0" w:space="0" w:color="auto"/>
            <w:bottom w:val="none" w:sz="0" w:space="0" w:color="auto"/>
            <w:right w:val="none" w:sz="0" w:space="0" w:color="auto"/>
          </w:divBdr>
        </w:div>
        <w:div w:id="1774547661">
          <w:marLeft w:val="0"/>
          <w:marRight w:val="0"/>
          <w:marTop w:val="0"/>
          <w:marBottom w:val="0"/>
          <w:divBdr>
            <w:top w:val="none" w:sz="0" w:space="0" w:color="auto"/>
            <w:left w:val="none" w:sz="0" w:space="0" w:color="auto"/>
            <w:bottom w:val="none" w:sz="0" w:space="0" w:color="auto"/>
            <w:right w:val="none" w:sz="0" w:space="0" w:color="auto"/>
          </w:divBdr>
        </w:div>
        <w:div w:id="1576403525">
          <w:marLeft w:val="0"/>
          <w:marRight w:val="0"/>
          <w:marTop w:val="0"/>
          <w:marBottom w:val="0"/>
          <w:divBdr>
            <w:top w:val="none" w:sz="0" w:space="0" w:color="auto"/>
            <w:left w:val="none" w:sz="0" w:space="0" w:color="auto"/>
            <w:bottom w:val="none" w:sz="0" w:space="0" w:color="auto"/>
            <w:right w:val="none" w:sz="0" w:space="0" w:color="auto"/>
          </w:divBdr>
        </w:div>
        <w:div w:id="277030101">
          <w:marLeft w:val="0"/>
          <w:marRight w:val="0"/>
          <w:marTop w:val="0"/>
          <w:marBottom w:val="0"/>
          <w:divBdr>
            <w:top w:val="none" w:sz="0" w:space="0" w:color="auto"/>
            <w:left w:val="none" w:sz="0" w:space="0" w:color="auto"/>
            <w:bottom w:val="none" w:sz="0" w:space="0" w:color="auto"/>
            <w:right w:val="none" w:sz="0" w:space="0" w:color="auto"/>
          </w:divBdr>
        </w:div>
        <w:div w:id="12702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Лебедев</dc:creator>
  <cp:lastModifiedBy>User</cp:lastModifiedBy>
  <cp:revision>2</cp:revision>
  <dcterms:created xsi:type="dcterms:W3CDTF">2015-02-13T12:22:00Z</dcterms:created>
  <dcterms:modified xsi:type="dcterms:W3CDTF">2015-02-13T12:22:00Z</dcterms:modified>
</cp:coreProperties>
</file>